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80" w:lineRule="exact"/>
        <w:jc w:val="center"/>
        <w:textAlignment w:val="auto"/>
        <w:rPr>
          <w:rFonts w:hint="eastAsia" w:ascii="方正小标宋_GBK" w:hAnsi="宋体" w:eastAsia="方正小标宋_GBK" w:cs="宋体"/>
          <w:b/>
          <w:bCs/>
          <w:sz w:val="44"/>
          <w:szCs w:val="44"/>
          <w:highlight w:val="none"/>
        </w:rPr>
      </w:pPr>
      <w:r>
        <w:rPr>
          <w:rFonts w:hint="eastAsia" w:ascii="方正小标宋_GBK" w:hAnsi="宋体" w:eastAsia="方正小标宋_GBK" w:cs="宋体"/>
          <w:b/>
          <w:bCs/>
          <w:sz w:val="44"/>
          <w:szCs w:val="44"/>
          <w:highlight w:val="none"/>
        </w:rPr>
        <w:t>江苏睢宁农村商业银行股份有限公司</w:t>
      </w:r>
    </w:p>
    <w:p>
      <w:pPr>
        <w:keepNext w:val="0"/>
        <w:keepLines w:val="0"/>
        <w:pageBreakBefore w:val="0"/>
        <w:kinsoku/>
        <w:wordWrap/>
        <w:overflowPunct/>
        <w:topLinePunct w:val="0"/>
        <w:autoSpaceDE/>
        <w:autoSpaceDN/>
        <w:bidi w:val="0"/>
        <w:adjustRightInd/>
        <w:snapToGrid/>
        <w:spacing w:after="0" w:line="580" w:lineRule="exact"/>
        <w:jc w:val="center"/>
        <w:textAlignment w:val="auto"/>
        <w:rPr>
          <w:rFonts w:ascii="方正小标宋_GBK" w:hAnsi="宋体" w:eastAsia="方正小标宋_GBK" w:cs="宋体"/>
          <w:b/>
          <w:bCs/>
          <w:spacing w:val="-20"/>
          <w:sz w:val="44"/>
          <w:szCs w:val="44"/>
          <w:highlight w:val="none"/>
        </w:rPr>
      </w:pPr>
      <w:r>
        <w:rPr>
          <w:rFonts w:hint="eastAsia" w:ascii="方正小标宋_GBK" w:hAnsi="宋体" w:eastAsia="方正小标宋_GBK" w:cs="宋体"/>
          <w:b/>
          <w:bCs/>
          <w:spacing w:val="-20"/>
          <w:sz w:val="44"/>
          <w:szCs w:val="44"/>
          <w:highlight w:val="none"/>
        </w:rPr>
        <w:t>重大关联交易信息披露报告（202</w:t>
      </w:r>
      <w:r>
        <w:rPr>
          <w:rFonts w:hint="eastAsia" w:ascii="方正小标宋_GBK" w:hAnsi="宋体" w:eastAsia="方正小标宋_GBK" w:cs="宋体"/>
          <w:b/>
          <w:bCs/>
          <w:spacing w:val="-20"/>
          <w:sz w:val="44"/>
          <w:szCs w:val="44"/>
          <w:highlight w:val="none"/>
          <w:lang w:val="en-US" w:eastAsia="zh-CN"/>
        </w:rPr>
        <w:t>6</w:t>
      </w:r>
      <w:r>
        <w:rPr>
          <w:rFonts w:hint="eastAsia" w:ascii="方正小标宋_GBK" w:hAnsi="宋体" w:eastAsia="方正小标宋_GBK" w:cs="宋体"/>
          <w:b/>
          <w:bCs/>
          <w:spacing w:val="-20"/>
          <w:sz w:val="44"/>
          <w:szCs w:val="44"/>
          <w:highlight w:val="none"/>
        </w:rPr>
        <w:t>年第</w:t>
      </w:r>
      <w:r>
        <w:rPr>
          <w:rFonts w:hint="eastAsia" w:ascii="方正小标宋_GBK" w:hAnsi="宋体" w:eastAsia="方正小标宋_GBK" w:cs="宋体"/>
          <w:b/>
          <w:bCs/>
          <w:spacing w:val="-20"/>
          <w:sz w:val="44"/>
          <w:szCs w:val="44"/>
          <w:highlight w:val="none"/>
          <w:lang w:val="en-US" w:eastAsia="zh-CN"/>
        </w:rPr>
        <w:t>1</w:t>
      </w:r>
      <w:r>
        <w:rPr>
          <w:rFonts w:hint="eastAsia" w:ascii="方正小标宋_GBK" w:hAnsi="宋体" w:eastAsia="方正小标宋_GBK" w:cs="宋体"/>
          <w:b/>
          <w:bCs/>
          <w:spacing w:val="-20"/>
          <w:sz w:val="44"/>
          <w:szCs w:val="44"/>
          <w:highlight w:val="none"/>
        </w:rPr>
        <w:t>期）</w:t>
      </w:r>
    </w:p>
    <w:p>
      <w:pPr>
        <w:keepNext w:val="0"/>
        <w:keepLines w:val="0"/>
        <w:pageBreakBefore w:val="0"/>
        <w:kinsoku/>
        <w:wordWrap/>
        <w:overflowPunct/>
        <w:topLinePunct w:val="0"/>
        <w:autoSpaceDE/>
        <w:autoSpaceDN/>
        <w:bidi w:val="0"/>
        <w:adjustRightInd/>
        <w:snapToGrid/>
        <w:spacing w:after="0" w:line="580" w:lineRule="exact"/>
        <w:jc w:val="center"/>
        <w:textAlignment w:val="auto"/>
        <w:rPr>
          <w:rFonts w:ascii="仿宋_GB2312"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after="0" w:line="580" w:lineRule="exact"/>
        <w:ind w:firstLine="600" w:firstLineChars="200"/>
        <w:jc w:val="left"/>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根据中国银行保险监督管理委员会2022年第1号令《银行保险机构关联交易管理办法》规定，现将江苏睢宁农村商业银行股份有限公司重大关联交易</w:t>
      </w:r>
      <w:r>
        <w:rPr>
          <w:rFonts w:hint="eastAsia" w:ascii="仿宋_GB2312" w:hAnsi="Times New Roman" w:eastAsia="仿宋_GB2312" w:cs="Times New Roman"/>
          <w:sz w:val="30"/>
          <w:szCs w:val="30"/>
          <w:highlight w:val="none"/>
          <w:lang w:val="en-US" w:eastAsia="zh-CN"/>
        </w:rPr>
        <w:t>2026年度总额审批情况（2026年第1期）</w:t>
      </w:r>
      <w:r>
        <w:rPr>
          <w:rFonts w:hint="eastAsia" w:ascii="仿宋_GB2312" w:hAnsi="Times New Roman" w:eastAsia="仿宋_GB2312" w:cs="Times New Roman"/>
          <w:sz w:val="30"/>
          <w:szCs w:val="30"/>
          <w:highlight w:val="none"/>
        </w:rPr>
        <w:t>披露如下：</w:t>
      </w:r>
    </w:p>
    <w:p>
      <w:pPr>
        <w:keepNext w:val="0"/>
        <w:keepLines w:val="0"/>
        <w:pageBreakBefore w:val="0"/>
        <w:numPr>
          <w:ilvl w:val="0"/>
          <w:numId w:val="1"/>
        </w:numPr>
        <w:kinsoku/>
        <w:wordWrap/>
        <w:overflowPunct/>
        <w:topLinePunct w:val="0"/>
        <w:autoSpaceDE/>
        <w:autoSpaceDN/>
        <w:bidi w:val="0"/>
        <w:adjustRightInd/>
        <w:snapToGrid/>
        <w:spacing w:after="0" w:line="580" w:lineRule="exact"/>
        <w:ind w:firstLine="643"/>
        <w:textAlignment w:val="auto"/>
        <w:rPr>
          <w:rFonts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关联交易概述及交易标的情况</w:t>
      </w:r>
    </w:p>
    <w:p>
      <w:pPr>
        <w:spacing w:line="560" w:lineRule="exact"/>
        <w:ind w:firstLine="600" w:firstLineChars="200"/>
        <w:rPr>
          <w:rFonts w:hint="eastAsia" w:ascii="仿宋_GB2312" w:eastAsia="仿宋_GB2312"/>
          <w:bCs/>
          <w:sz w:val="30"/>
          <w:szCs w:val="30"/>
          <w:highlight w:val="none"/>
        </w:rPr>
      </w:pPr>
      <w:r>
        <w:rPr>
          <w:rFonts w:hint="eastAsia" w:ascii="仿宋_GB2312" w:hAnsi="宋体" w:eastAsia="仿宋_GB2312"/>
          <w:sz w:val="30"/>
          <w:szCs w:val="30"/>
          <w:highlight w:val="none"/>
        </w:rPr>
        <w:t>重大关联交易是指本行与单个关联方之间单笔交易金额达到本行上季末资本净额1%以上，或累计达到本行上季末资本净额5%以上的交易。</w:t>
      </w:r>
      <w:r>
        <w:rPr>
          <w:rFonts w:hint="eastAsia" w:ascii="仿宋_GB2312" w:eastAsia="仿宋_GB2312"/>
          <w:bCs/>
          <w:sz w:val="30"/>
          <w:szCs w:val="30"/>
          <w:highlight w:val="none"/>
        </w:rPr>
        <w:t>根据本行关联方名单和现有关联交易管理情况，以下关联交易授信为重大关联交易授信：</w:t>
      </w:r>
    </w:p>
    <w:p>
      <w:pPr>
        <w:ind w:firstLine="480" w:firstLineChars="200"/>
        <w:outlineLvl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bl>
      <w:tblPr>
        <w:tblStyle w:val="9"/>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065"/>
        <w:gridCol w:w="960"/>
        <w:gridCol w:w="1515"/>
        <w:gridCol w:w="340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序号</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集团全称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授信额度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占资本净额</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集团关联客户名称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分配授信额度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比例</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江苏博融农业发展有限公司及其关联方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44000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14.73%</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睢宁县自来水有限公司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睢宁县兴顺粮食购销有限责任公司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江苏沙集港务有限公司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睢宁县魏集粮食购销有限责任公司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睢宁县邱集粮食购销有限责任公司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睢宁兴港商砼有限公司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睢宁县官山粮食购销有限责任公司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睢宁县新岚粮食购销有限责任公司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睢宁县李集粮食购销有限责任公司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睢宁县双沟粮食购销有限责任公司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睢宁县张圩粮食购销有限责任公司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睢宁宝源新能源发电有限公司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睢宁县姚集粮食购销有限责任公司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睢宁县龙集粮食购销有限责任公司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睢宁县润田水务有限公司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睢宁县畅和公路运营管理有限公司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睢宁县金鼎建筑工程有限公司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睢宁县高作粮食购销有限责任公司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江苏润文城市建设有限公司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江苏润丰商贸有限公司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睢宁县苏塘粮食购销有限责任公司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徐州启顺电商科技有限公司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睢宁通港航运有限公司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睢宁县沙集粮食购销有限责任公司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江苏宝润建筑科技有限公司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睢宁县高集粮食购销有限责任公司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睢宁县凌城粮食购销有限责任公司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睢宁县梁集粮食购销有限责任公司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睢宁润鑫物业有限公司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睢宁县朱集粮食购销有限责任公司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江苏风驰城市建设有限公司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江苏丰成实业有限公司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睢宁县公共交通有限公司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睢宁县浦棠粮食购销有限责任公司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江苏瑞姚实业有限公司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该集团其他关联方授信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徐州虹纬纺织有限公司及其关联方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22000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7.37%</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徐州时代纺织有限公司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徐州虹纬智能纺织有限公司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徐州虹纬纺织有限公司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cs="宋体"/>
                <w:i w:val="0"/>
                <w:color w:val="000000"/>
                <w:kern w:val="0"/>
                <w:sz w:val="18"/>
                <w:szCs w:val="18"/>
                <w:highlight w:val="none"/>
                <w:u w:val="none"/>
                <w:lang w:val="en-US" w:eastAsia="zh-CN" w:bidi="ar"/>
              </w:rPr>
              <w:t>3</w:t>
            </w:r>
          </w:p>
        </w:tc>
        <w:tc>
          <w:tcPr>
            <w:tcW w:w="10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徐州欧凯名居装饰工程有限公司及其关联方</w:t>
            </w:r>
          </w:p>
        </w:tc>
        <w:tc>
          <w:tcPr>
            <w:tcW w:w="9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
              </w:rPr>
              <w:t>4600</w:t>
            </w:r>
          </w:p>
        </w:tc>
        <w:tc>
          <w:tcPr>
            <w:tcW w:w="15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color w:val="auto"/>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1.54%</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2"/>
                <w:sz w:val="18"/>
                <w:szCs w:val="18"/>
                <w:highlight w:val="none"/>
                <w:u w:val="none"/>
                <w:lang w:val="en-US" w:eastAsia="zh-CN" w:bidi="ar-SA"/>
              </w:rPr>
            </w:pPr>
            <w:r>
              <w:rPr>
                <w:rFonts w:hint="eastAsia" w:ascii="宋体" w:hAnsi="宋体" w:eastAsia="宋体" w:cs="宋体"/>
                <w:b/>
                <w:bCs/>
                <w:i w:val="0"/>
                <w:color w:val="auto"/>
                <w:kern w:val="0"/>
                <w:sz w:val="18"/>
                <w:szCs w:val="18"/>
                <w:highlight w:val="none"/>
                <w:u w:val="none"/>
                <w:lang w:val="en-US" w:eastAsia="zh-CN" w:bidi="ar"/>
              </w:rPr>
              <w:t>徐州欧凯名居装饰工程有限公司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2"/>
                <w:sz w:val="18"/>
                <w:szCs w:val="18"/>
                <w:highlight w:val="none"/>
                <w:u w:val="none"/>
                <w:lang w:val="en-US" w:eastAsia="zh-CN" w:bidi="ar-SA"/>
              </w:rPr>
            </w:pPr>
            <w:r>
              <w:rPr>
                <w:rFonts w:hint="eastAsia" w:ascii="宋体" w:hAnsi="宋体" w:eastAsia="宋体" w:cs="宋体"/>
                <w:b/>
                <w:bCs/>
                <w:i w:val="0"/>
                <w:color w:val="auto"/>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5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徐州鼎明商贸有限公司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9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5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该集团其他关联方授信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江苏百盛润家商贸有限公司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bookmarkStart w:id="0" w:name="_GoBack"/>
            <w:bookmarkEnd w:id="0"/>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江苏百盛润家商贸有限公司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徐州市金龙宇麦粉有限公司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徐州市金龙宇麦粉有限公司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highlight w:val="none"/>
                <w:u w:val="none"/>
              </w:rPr>
            </w:pPr>
            <w:r>
              <w:rPr>
                <w:rFonts w:hint="eastAsia" w:ascii="宋体" w:hAnsi="宋体" w:eastAsia="宋体" w:cs="宋体"/>
                <w:b/>
                <w:bCs/>
                <w:i w:val="0"/>
                <w:color w:val="000000"/>
                <w:kern w:val="0"/>
                <w:sz w:val="18"/>
                <w:szCs w:val="18"/>
                <w:highlight w:val="none"/>
                <w:u w:val="none"/>
                <w:lang w:val="en-US" w:eastAsia="zh-CN" w:bidi="ar"/>
              </w:rPr>
              <w:t>3000</w:t>
            </w:r>
          </w:p>
        </w:tc>
      </w:tr>
    </w:tbl>
    <w:p>
      <w:pPr>
        <w:ind w:firstLine="480" w:firstLineChars="200"/>
        <w:outlineLvl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pacing w:line="560" w:lineRule="exact"/>
        <w:ind w:firstLine="602" w:firstLineChars="200"/>
        <w:rPr>
          <w:rFonts w:ascii="黑体" w:hAnsi="黑体" w:eastAsia="黑体"/>
          <w:sz w:val="30"/>
          <w:szCs w:val="30"/>
          <w:highlight w:val="none"/>
        </w:rPr>
      </w:pPr>
      <w:r>
        <w:rPr>
          <w:rFonts w:hint="eastAsia" w:ascii="黑体" w:hAnsi="黑体" w:eastAsia="黑体"/>
          <w:b/>
          <w:sz w:val="30"/>
          <w:szCs w:val="30"/>
          <w:highlight w:val="none"/>
        </w:rPr>
        <w:t>二、关联方介绍与关联关系</w:t>
      </w:r>
    </w:p>
    <w:p>
      <w:pPr>
        <w:ind w:firstLine="600" w:firstLineChars="200"/>
        <w:rPr>
          <w:rFonts w:ascii="仿宋_GB2312" w:eastAsia="仿宋_GB2312"/>
          <w:bCs/>
          <w:sz w:val="30"/>
          <w:szCs w:val="30"/>
          <w:highlight w:val="none"/>
        </w:rPr>
      </w:pPr>
      <w:r>
        <w:rPr>
          <w:rFonts w:hint="eastAsia" w:ascii="仿宋_GB2312" w:hAnsi="Times New Roman" w:eastAsia="仿宋_GB2312" w:cs="Times New Roman"/>
          <w:sz w:val="30"/>
          <w:szCs w:val="30"/>
          <w:highlight w:val="none"/>
        </w:rPr>
        <w:t>本行关联方根据《银行保险机构关联交易管理办法》监管制度及《江苏睢宁农村商业银行股份有限公司关联交易管理办法》中规定的范围，由董事会风险管理与关联交易控制委员会认定并向董事会报告。</w:t>
      </w:r>
    </w:p>
    <w:p>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（一）江苏博融农业发展有限公司及其关联方</w:t>
      </w:r>
    </w:p>
    <w:p>
      <w:pPr>
        <w:ind w:firstLine="600" w:firstLineChars="200"/>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江苏博融农业发展有限公司成立于2010年，为江苏润鑫城市投资集团成员，是持有我行股权5%以上的主要股东，持股数为5922.5万股，持股比例为9.434%，并向本行派出董事余鹏飞。睢宁县润企投资有限公司对江苏博融农业发展有限公司100%控股，江苏润鑫城市投资集团有限公司对睢宁县润企投资有限公司100%控股，最终实际控制人睢宁县国有资产管理服务中心，上述主体均被认定为我行关联方。</w:t>
      </w:r>
    </w:p>
    <w:p>
      <w:pPr>
        <w:spacing w:line="560" w:lineRule="exact"/>
        <w:ind w:firstLine="602" w:firstLineChars="200"/>
        <w:rPr>
          <w:rFonts w:hint="eastAsia" w:ascii="仿宋_GB2312" w:hAnsi="Times New Roman" w:eastAsia="仿宋_GB2312"/>
          <w:b/>
          <w:sz w:val="30"/>
          <w:szCs w:val="30"/>
          <w:highlight w:val="none"/>
          <w:lang w:eastAsia="zh-CN"/>
        </w:rPr>
      </w:pPr>
      <w:r>
        <w:rPr>
          <w:rFonts w:hint="eastAsia" w:ascii="仿宋_GB2312" w:eastAsia="仿宋_GB2312"/>
          <w:b/>
          <w:sz w:val="30"/>
          <w:szCs w:val="30"/>
          <w:highlight w:val="none"/>
        </w:rPr>
        <w:t>（二）</w:t>
      </w:r>
      <w:r>
        <w:rPr>
          <w:rFonts w:hint="eastAsia" w:ascii="仿宋_GB2312" w:hAnsi="Times New Roman" w:eastAsia="仿宋_GB2312"/>
          <w:b/>
          <w:sz w:val="30"/>
          <w:szCs w:val="30"/>
          <w:highlight w:val="none"/>
          <w:lang w:val="en-US" w:eastAsia="zh-CN"/>
        </w:rPr>
        <w:t>徐州虹纬纺织有限公司及其关联方</w:t>
      </w:r>
    </w:p>
    <w:p>
      <w:pPr>
        <w:spacing w:line="560" w:lineRule="exact"/>
        <w:ind w:firstLine="600" w:firstLineChars="200"/>
        <w:rPr>
          <w:rFonts w:hint="eastAsia" w:ascii="仿宋_GB2312" w:eastAsia="仿宋_GB2312"/>
          <w:bCs/>
          <w:sz w:val="30"/>
          <w:szCs w:val="30"/>
          <w:highlight w:val="none"/>
        </w:rPr>
      </w:pPr>
      <w:r>
        <w:rPr>
          <w:rFonts w:hint="eastAsia" w:ascii="仿宋_GB2312" w:hAnsi="Times New Roman" w:eastAsia="仿宋_GB2312" w:cs="Times New Roman"/>
          <w:sz w:val="30"/>
          <w:szCs w:val="30"/>
          <w:highlight w:val="none"/>
          <w:lang w:val="en-US" w:eastAsia="zh-CN"/>
        </w:rPr>
        <w:t>本行董事李坤先生，持有本行54.49万股，持股比例为0.09%，为徐州虹纬智能纺织有限公司董事长兼总经理，是徐州虹纬纺织有限公司高级管理层。</w:t>
      </w:r>
    </w:p>
    <w:p>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w:t>
      </w:r>
      <w:r>
        <w:rPr>
          <w:rFonts w:hint="eastAsia" w:ascii="仿宋_GB2312" w:eastAsia="仿宋_GB2312"/>
          <w:b/>
          <w:sz w:val="30"/>
          <w:szCs w:val="30"/>
          <w:highlight w:val="none"/>
          <w:lang w:eastAsia="zh-CN"/>
        </w:rPr>
        <w:t>三</w:t>
      </w:r>
      <w:r>
        <w:rPr>
          <w:rFonts w:hint="eastAsia" w:ascii="仿宋_GB2312" w:eastAsia="仿宋_GB2312"/>
          <w:b/>
          <w:sz w:val="30"/>
          <w:szCs w:val="30"/>
          <w:highlight w:val="none"/>
        </w:rPr>
        <w:t>）</w:t>
      </w:r>
      <w:r>
        <w:rPr>
          <w:rFonts w:hint="eastAsia" w:ascii="仿宋_GB2312" w:eastAsia="仿宋_GB2312"/>
          <w:b/>
          <w:bCs w:val="0"/>
          <w:sz w:val="30"/>
          <w:szCs w:val="30"/>
          <w:highlight w:val="none"/>
          <w:lang w:val="en-US" w:eastAsia="zh-CN"/>
        </w:rPr>
        <w:t>徐州欧凯名居装饰工程有限公司及其关联方</w:t>
      </w:r>
    </w:p>
    <w:p>
      <w:pPr>
        <w:spacing w:line="560" w:lineRule="exact"/>
        <w:ind w:firstLine="600" w:firstLineChars="200"/>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本行董事邱大志先生，持有本行1066.05万股（含徐州鼎明商贸有限公司持股），持股比例为1.7%，为徐州欧凯名居装饰工程有限公司、徐州鼎明商贸有限公司的实际控制人。徐州欧凯名居装饰工程有限公司注册成立于2017年06月13日，注册地址为睢宁县睢城镇新市街南侧豪盛商城1号楼1-517，注册资本500万元。徐州鼎明商贸有限公司注册成立于2014年07月28日，注册地址为徐州市睢宁县睢城镇天虹南路华宁小区1号楼305室，注册资本为2000万元。</w:t>
      </w:r>
    </w:p>
    <w:p>
      <w:pPr>
        <w:spacing w:line="560" w:lineRule="exact"/>
        <w:ind w:firstLine="602" w:firstLineChars="200"/>
        <w:rPr>
          <w:rFonts w:hint="eastAsia" w:ascii="仿宋_GB2312" w:eastAsia="仿宋_GB2312"/>
          <w:b/>
          <w:sz w:val="30"/>
          <w:szCs w:val="30"/>
          <w:highlight w:val="none"/>
          <w:lang w:eastAsia="zh-CN"/>
        </w:rPr>
      </w:pPr>
      <w:r>
        <w:rPr>
          <w:rFonts w:hint="eastAsia" w:ascii="仿宋_GB2312" w:eastAsia="仿宋_GB2312"/>
          <w:b/>
          <w:sz w:val="30"/>
          <w:szCs w:val="30"/>
          <w:highlight w:val="none"/>
        </w:rPr>
        <w:t>（</w:t>
      </w:r>
      <w:r>
        <w:rPr>
          <w:rFonts w:hint="eastAsia" w:ascii="仿宋_GB2312" w:eastAsia="仿宋_GB2312"/>
          <w:b/>
          <w:sz w:val="30"/>
          <w:szCs w:val="30"/>
          <w:highlight w:val="none"/>
          <w:lang w:eastAsia="zh-CN"/>
        </w:rPr>
        <w:t>四</w:t>
      </w:r>
      <w:r>
        <w:rPr>
          <w:rFonts w:hint="eastAsia" w:ascii="仿宋_GB2312" w:eastAsia="仿宋_GB2312"/>
          <w:b/>
          <w:sz w:val="30"/>
          <w:szCs w:val="30"/>
          <w:highlight w:val="none"/>
        </w:rPr>
        <w:t>）</w:t>
      </w:r>
      <w:r>
        <w:rPr>
          <w:rFonts w:hint="eastAsia" w:ascii="仿宋_GB2312" w:eastAsia="仿宋_GB2312"/>
          <w:b/>
          <w:sz w:val="30"/>
          <w:szCs w:val="30"/>
          <w:highlight w:val="none"/>
          <w:lang w:eastAsia="zh-CN"/>
        </w:rPr>
        <w:t>江苏百盛润家商贸有限公司</w:t>
      </w:r>
    </w:p>
    <w:p>
      <w:pPr>
        <w:spacing w:line="560" w:lineRule="exact"/>
        <w:ind w:firstLine="600" w:firstLineChars="200"/>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本行董事刘凯先生，持有本行841万股（含江苏百盛润家商贸有限公司持股），持股比例为1.34%，为江苏百盛润家商贸有限公司实际控制人。江苏百盛润家商贸有限公司成立于2001年05月30日，注册地址：睢宁县八一东路56号，注册资本2000万元。</w:t>
      </w:r>
    </w:p>
    <w:p>
      <w:pPr>
        <w:pStyle w:val="8"/>
        <w:numPr>
          <w:ilvl w:val="0"/>
          <w:numId w:val="2"/>
        </w:numPr>
        <w:rPr>
          <w:rFonts w:hint="eastAsia" w:ascii="仿宋_GB2312" w:hAnsi="Times New Roman" w:eastAsia="仿宋_GB2312" w:cs="黑体"/>
          <w:b/>
          <w:bCs w:val="0"/>
          <w:kern w:val="2"/>
          <w:sz w:val="30"/>
          <w:szCs w:val="30"/>
          <w:highlight w:val="none"/>
          <w:lang w:val="en-US" w:eastAsia="zh-CN" w:bidi="ar-SA"/>
        </w:rPr>
      </w:pPr>
      <w:r>
        <w:rPr>
          <w:rFonts w:hint="eastAsia" w:ascii="仿宋_GB2312" w:hAnsi="Times New Roman" w:eastAsia="仿宋_GB2312" w:cs="黑体"/>
          <w:b/>
          <w:bCs w:val="0"/>
          <w:kern w:val="2"/>
          <w:sz w:val="30"/>
          <w:szCs w:val="30"/>
          <w:highlight w:val="none"/>
          <w:lang w:val="en-US" w:eastAsia="zh-CN" w:bidi="ar-SA"/>
        </w:rPr>
        <w:t>徐州市金龙宇麦粉有限公司</w:t>
      </w:r>
    </w:p>
    <w:p>
      <w:pPr>
        <w:spacing w:line="560" w:lineRule="exact"/>
        <w:ind w:firstLine="600" w:firstLineChars="200"/>
        <w:rPr>
          <w:rFonts w:hint="default" w:ascii="仿宋_GB2312" w:hAnsi="Times New Roman" w:eastAsia="仿宋_GB2312" w:cs="Times New Roman"/>
          <w:sz w:val="30"/>
          <w:szCs w:val="30"/>
          <w:highlight w:val="none"/>
          <w:lang w:val="en-US" w:eastAsia="zh-CN"/>
        </w:rPr>
      </w:pPr>
      <w:r>
        <w:rPr>
          <w:rFonts w:hint="default" w:ascii="仿宋_GB2312" w:hAnsi="Times New Roman" w:eastAsia="仿宋_GB2312" w:cs="Times New Roman"/>
          <w:sz w:val="30"/>
          <w:szCs w:val="30"/>
          <w:highlight w:val="none"/>
          <w:lang w:val="en-US" w:eastAsia="zh-CN"/>
        </w:rPr>
        <w:t>徐州市金龙宇麦粉有限公司</w:t>
      </w:r>
      <w:r>
        <w:rPr>
          <w:rFonts w:hint="eastAsia" w:ascii="仿宋_GB2312" w:hAnsi="Times New Roman" w:eastAsia="仿宋_GB2312" w:cs="Times New Roman"/>
          <w:sz w:val="30"/>
          <w:szCs w:val="30"/>
          <w:highlight w:val="none"/>
          <w:lang w:val="en-US" w:eastAsia="zh-CN"/>
        </w:rPr>
        <w:t>，持有本行1129.41万股，持股比例为1.8%,</w:t>
      </w:r>
      <w:r>
        <w:rPr>
          <w:rFonts w:hint="default" w:ascii="仿宋_GB2312" w:hAnsi="Times New Roman" w:eastAsia="仿宋_GB2312" w:cs="Times New Roman"/>
          <w:sz w:val="30"/>
          <w:szCs w:val="30"/>
          <w:highlight w:val="none"/>
          <w:lang w:val="en-US" w:eastAsia="zh-CN"/>
        </w:rPr>
        <w:t>注册成立于2003年7月24日，注册地址为睢宁县凌城镇经济开发区，注册资本1000万元人民币</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实际控制人孙家宇</w:t>
      </w:r>
      <w:r>
        <w:rPr>
          <w:rFonts w:hint="eastAsia" w:ascii="仿宋_GB2312" w:hAnsi="Times New Roman" w:eastAsia="仿宋_GB2312" w:cs="Times New Roman"/>
          <w:sz w:val="30"/>
          <w:szCs w:val="30"/>
          <w:highlight w:val="none"/>
          <w:lang w:val="en-US" w:eastAsia="zh-CN"/>
        </w:rPr>
        <w:t>。</w:t>
      </w:r>
    </w:p>
    <w:p>
      <w:pPr>
        <w:keepNext w:val="0"/>
        <w:keepLines w:val="0"/>
        <w:pageBreakBefore w:val="0"/>
        <w:kinsoku/>
        <w:wordWrap/>
        <w:overflowPunct/>
        <w:topLinePunct w:val="0"/>
        <w:autoSpaceDE/>
        <w:autoSpaceDN/>
        <w:bidi w:val="0"/>
        <w:adjustRightInd/>
        <w:snapToGrid/>
        <w:spacing w:after="0" w:line="580" w:lineRule="exact"/>
        <w:ind w:left="630"/>
        <w:textAlignment w:val="auto"/>
        <w:rPr>
          <w:rFonts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三、定价政策</w:t>
      </w:r>
    </w:p>
    <w:p>
      <w:pPr>
        <w:spacing w:line="560" w:lineRule="exact"/>
        <w:ind w:firstLine="600" w:firstLineChars="200"/>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本行与以上关联方之间的交易遵循市场化定价原则，以不优于对非关联方同类交易的条件开展关联交易，贷款利率定价由</w:t>
      </w:r>
      <w:r>
        <w:rPr>
          <w:rFonts w:hint="default" w:ascii="仿宋_GB2312" w:hAnsi="Times New Roman" w:eastAsia="仿宋_GB2312" w:cs="Times New Roman"/>
          <w:sz w:val="30"/>
          <w:szCs w:val="30"/>
          <w:highlight w:val="none"/>
          <w:lang w:val="en-US" w:eastAsia="zh-CN"/>
        </w:rPr>
        <w:t>资产负债与定价管理委员会审议。</w:t>
      </w:r>
    </w:p>
    <w:p>
      <w:pPr>
        <w:keepNext w:val="0"/>
        <w:keepLines w:val="0"/>
        <w:pageBreakBefore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关联交易金额及相应比例</w:t>
      </w:r>
    </w:p>
    <w:p>
      <w:pPr>
        <w:spacing w:line="560" w:lineRule="exact"/>
        <w:ind w:firstLine="600" w:firstLineChars="200"/>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截至2025年12月末，我行资本净额为29.86亿元，以上重大关联交易年度总额审批后，单个关联方的授信余额占上季末资本净额比例、单个集团客户授信余额占上季末资本净额比例、全部关联方授信余额占上季末资本净额比例，均符合监管要求。</w:t>
      </w:r>
    </w:p>
    <w:p>
      <w:pPr>
        <w:keepNext w:val="0"/>
        <w:keepLines w:val="0"/>
        <w:pageBreakBefore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董事会决议情况</w:t>
      </w:r>
    </w:p>
    <w:p>
      <w:pPr>
        <w:keepNext w:val="0"/>
        <w:keepLines w:val="0"/>
        <w:pageBreakBefore w:val="0"/>
        <w:kinsoku/>
        <w:wordWrap/>
        <w:overflowPunct/>
        <w:topLinePunct w:val="0"/>
        <w:autoSpaceDE/>
        <w:autoSpaceDN/>
        <w:bidi w:val="0"/>
        <w:adjustRightInd/>
        <w:snapToGrid/>
        <w:spacing w:after="0" w:line="58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26日</w:t>
      </w:r>
      <w:r>
        <w:rPr>
          <w:rFonts w:hint="eastAsia" w:ascii="仿宋_GB2312" w:eastAsia="仿宋_GB2312"/>
          <w:sz w:val="30"/>
          <w:szCs w:val="30"/>
          <w:highlight w:val="none"/>
        </w:rPr>
        <w:t>第四届董事会第</w:t>
      </w:r>
      <w:r>
        <w:rPr>
          <w:rFonts w:hint="eastAsia" w:ascii="仿宋_GB2312" w:eastAsia="仿宋_GB2312"/>
          <w:sz w:val="30"/>
          <w:szCs w:val="30"/>
          <w:highlight w:val="none"/>
          <w:lang w:val="en-US" w:eastAsia="zh-CN"/>
        </w:rPr>
        <w:t>十六</w:t>
      </w:r>
      <w:r>
        <w:rPr>
          <w:rFonts w:hint="eastAsia" w:ascii="仿宋_GB2312" w:eastAsia="仿宋_GB2312"/>
          <w:sz w:val="30"/>
          <w:szCs w:val="30"/>
          <w:highlight w:val="none"/>
        </w:rPr>
        <w:t>次会议审议通过了《睢宁农商银行关于对重大关联交易授信年检的议案（202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年）》，并形成决议</w:t>
      </w:r>
      <w:r>
        <w:rPr>
          <w:rFonts w:hint="eastAsia" w:ascii="仿宋_GB2312" w:eastAsia="仿宋_GB2312"/>
          <w:sz w:val="30"/>
          <w:szCs w:val="30"/>
          <w:highlight w:val="none"/>
          <w:lang w:eastAsia="zh-CN"/>
        </w:rPr>
        <w:t>。与重大关联交易有利害关系的关联董事余鹏飞、刘凯、李坤、邱大志履行回避原则。</w:t>
      </w:r>
    </w:p>
    <w:p>
      <w:pPr>
        <w:keepNext w:val="0"/>
        <w:keepLines w:val="0"/>
        <w:pageBreakBefore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独立董事发表意见情况</w:t>
      </w:r>
    </w:p>
    <w:p>
      <w:pPr>
        <w:keepNext w:val="0"/>
        <w:keepLines w:val="0"/>
        <w:pageBreakBefore w:val="0"/>
        <w:kinsoku/>
        <w:wordWrap/>
        <w:overflowPunct/>
        <w:topLinePunct w:val="0"/>
        <w:autoSpaceDE/>
        <w:autoSpaceDN/>
        <w:bidi w:val="0"/>
        <w:adjustRightInd/>
        <w:snapToGrid/>
        <w:spacing w:after="0" w:line="58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本行独立董事</w:t>
      </w:r>
      <w:r>
        <w:rPr>
          <w:rFonts w:hint="eastAsia" w:ascii="仿宋_GB2312" w:eastAsia="仿宋_GB2312"/>
          <w:sz w:val="30"/>
          <w:szCs w:val="30"/>
          <w:highlight w:val="none"/>
          <w:lang w:eastAsia="zh-CN"/>
        </w:rPr>
        <w:t>对本期重大关联交易的公允性、合规性等</w:t>
      </w:r>
      <w:r>
        <w:rPr>
          <w:rFonts w:hint="eastAsia" w:ascii="仿宋_GB2312" w:eastAsia="仿宋_GB2312"/>
          <w:sz w:val="30"/>
          <w:szCs w:val="30"/>
          <w:highlight w:val="none"/>
        </w:rPr>
        <w:t>出具书面意见：重大关联交易授信年检</w:t>
      </w:r>
      <w:r>
        <w:rPr>
          <w:rFonts w:hint="eastAsia" w:ascii="仿宋_GB2312" w:eastAsia="仿宋_GB2312"/>
          <w:sz w:val="30"/>
          <w:szCs w:val="30"/>
          <w:highlight w:val="none"/>
          <w:lang w:eastAsia="zh-CN"/>
        </w:rPr>
        <w:t>严格按照监管规定进行，</w:t>
      </w:r>
      <w:r>
        <w:rPr>
          <w:rFonts w:hint="eastAsia" w:ascii="仿宋_GB2312" w:eastAsia="仿宋_GB2312"/>
          <w:sz w:val="30"/>
          <w:szCs w:val="30"/>
          <w:highlight w:val="none"/>
          <w:lang w:val="en-US" w:eastAsia="zh-CN"/>
        </w:rPr>
        <w:t>存量关联交易</w:t>
      </w:r>
      <w:r>
        <w:rPr>
          <w:rFonts w:hint="eastAsia" w:ascii="仿宋_GB2312" w:eastAsia="仿宋_GB2312"/>
          <w:sz w:val="30"/>
          <w:szCs w:val="30"/>
          <w:highlight w:val="none"/>
        </w:rPr>
        <w:t>遵循市场化定价原则，</w:t>
      </w:r>
      <w:r>
        <w:rPr>
          <w:rFonts w:hint="eastAsia" w:ascii="仿宋_GB2312" w:eastAsia="仿宋_GB2312"/>
          <w:sz w:val="30"/>
          <w:szCs w:val="30"/>
          <w:highlight w:val="none"/>
          <w:lang w:eastAsia="zh-CN"/>
        </w:rPr>
        <w:t>贷款定价不优于其他同类客户，</w:t>
      </w:r>
      <w:r>
        <w:rPr>
          <w:rFonts w:hint="eastAsia" w:ascii="仿宋_GB2312" w:eastAsia="仿宋_GB2312"/>
          <w:sz w:val="30"/>
          <w:szCs w:val="30"/>
          <w:highlight w:val="none"/>
        </w:rPr>
        <w:t>不存在</w:t>
      </w:r>
      <w:r>
        <w:rPr>
          <w:rFonts w:hint="eastAsia" w:ascii="仿宋_GB2312" w:eastAsia="仿宋_GB2312"/>
          <w:sz w:val="30"/>
          <w:szCs w:val="30"/>
          <w:highlight w:val="none"/>
          <w:lang w:eastAsia="zh-CN"/>
        </w:rPr>
        <w:t>利益输送及价格操纵行为，</w:t>
      </w:r>
      <w:r>
        <w:rPr>
          <w:rFonts w:hint="eastAsia" w:ascii="仿宋_GB2312" w:eastAsia="仿宋_GB2312"/>
          <w:sz w:val="30"/>
          <w:szCs w:val="30"/>
          <w:highlight w:val="none"/>
        </w:rPr>
        <w:t>符合关联交易管理要求的公允性原则。</w:t>
      </w:r>
    </w:p>
    <w:p>
      <w:pPr>
        <w:keepNext w:val="0"/>
        <w:keepLines w:val="0"/>
        <w:pageBreakBefore w:val="0"/>
        <w:kinsoku/>
        <w:wordWrap/>
        <w:overflowPunct/>
        <w:topLinePunct w:val="0"/>
        <w:autoSpaceDE/>
        <w:autoSpaceDN/>
        <w:bidi w:val="0"/>
        <w:adjustRightInd/>
        <w:snapToGrid/>
        <w:spacing w:after="0" w:line="580" w:lineRule="exact"/>
        <w:ind w:firstLine="600" w:firstLineChars="200"/>
        <w:jc w:val="right"/>
        <w:textAlignment w:val="auto"/>
        <w:rPr>
          <w:rFonts w:hint="eastAsia" w:ascii="仿宋_GB2312" w:eastAsia="仿宋_GB2312"/>
          <w:sz w:val="30"/>
          <w:szCs w:val="30"/>
          <w:highlight w:val="none"/>
        </w:rPr>
      </w:pPr>
    </w:p>
    <w:p>
      <w:pPr>
        <w:keepNext w:val="0"/>
        <w:keepLines w:val="0"/>
        <w:pageBreakBefore w:val="0"/>
        <w:kinsoku/>
        <w:wordWrap/>
        <w:overflowPunct/>
        <w:topLinePunct w:val="0"/>
        <w:autoSpaceDE/>
        <w:autoSpaceDN/>
        <w:bidi w:val="0"/>
        <w:adjustRightInd/>
        <w:snapToGrid/>
        <w:spacing w:after="0" w:line="580" w:lineRule="exact"/>
        <w:ind w:firstLine="600" w:firstLineChars="200"/>
        <w:jc w:val="right"/>
        <w:textAlignment w:val="auto"/>
        <w:rPr>
          <w:rFonts w:hint="eastAsia" w:ascii="仿宋_GB2312" w:eastAsia="仿宋_GB2312"/>
          <w:sz w:val="30"/>
          <w:szCs w:val="30"/>
          <w:highlight w:val="none"/>
        </w:rPr>
      </w:pPr>
      <w:r>
        <w:rPr>
          <w:rFonts w:hint="eastAsia" w:ascii="仿宋_GB2312" w:eastAsia="仿宋_GB2312"/>
          <w:sz w:val="30"/>
          <w:szCs w:val="30"/>
          <w:highlight w:val="none"/>
        </w:rPr>
        <w:t>江苏睢宁农村商业银行股份有限公司</w:t>
      </w:r>
    </w:p>
    <w:p>
      <w:pPr>
        <w:keepNext w:val="0"/>
        <w:keepLines w:val="0"/>
        <w:pageBreakBefore w:val="0"/>
        <w:kinsoku/>
        <w:wordWrap/>
        <w:overflowPunct/>
        <w:topLinePunct w:val="0"/>
        <w:autoSpaceDE/>
        <w:autoSpaceDN/>
        <w:bidi w:val="0"/>
        <w:adjustRightInd/>
        <w:snapToGrid/>
        <w:spacing w:after="0" w:line="580" w:lineRule="exact"/>
        <w:ind w:firstLine="600" w:firstLineChars="200"/>
        <w:jc w:val="center"/>
        <w:textAlignment w:val="auto"/>
        <w:rPr>
          <w:rFonts w:hint="eastAsia" w:ascii="仿宋_GB2312" w:eastAsia="仿宋_GB2312"/>
          <w:sz w:val="30"/>
          <w:szCs w:val="30"/>
          <w:highlight w:val="none"/>
        </w:rPr>
      </w:pPr>
      <w:r>
        <w:rPr>
          <w:rFonts w:hint="eastAsia" w:ascii="仿宋_GB2312" w:eastAsia="仿宋_GB2312"/>
          <w:sz w:val="30"/>
          <w:szCs w:val="30"/>
          <w:highlight w:val="none"/>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15875">
                          <a:solidFill>
                            <a:srgbClr val="FFFFFF">
                              <a:alpha val="0"/>
                            </a:srgbClr>
                          </a:solidFill>
                          <a:miter lim="0"/>
                        </a:ln>
                        <a:effectLst/>
                      </wps:spPr>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n07j3wAAAA8B&#10;AAAPAAAAAAAAAAEAIAAAACIAAABkcnMvZG93bnJldi54bWxQSwECFAAUAAAACACHTuJA4xEQ29sB&#10;AAD6AwAADgAAAAAAAAABACAAAAAuAQAAZHJzL2Uyb0RvYy54bWxQSwUGAAAAAAYABgBZAQAAewUA&#10;AAAA&#10;">
                <v:fill on="t" opacity="0f" focussize="0,0"/>
                <v:stroke weight="1.25pt" color="#FFFFFF" opacity="0f" miterlimit="0" joinstyle="miter"/>
                <v:imagedata o:title=""/>
                <o:lock v:ext="edit" aspectratio="f"/>
              </v:rect>
            </w:pict>
          </mc:Fallback>
        </mc:AlternateContent>
      </w:r>
      <w:r>
        <w:rPr>
          <w:rFonts w:hint="eastAsia" w:ascii="仿宋_GB2312" w:eastAsia="仿宋_GB2312"/>
          <w:sz w:val="30"/>
          <w:szCs w:val="30"/>
          <w:highlight w:val="none"/>
          <w:lang w:val="en-US" w:eastAsia="zh-CN"/>
        </w:rPr>
        <w:t xml:space="preserve">                  2026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日</w:t>
      </w:r>
    </w:p>
    <w:p>
      <w:pPr>
        <w:pStyle w:val="8"/>
        <w:rPr>
          <w:rFonts w:hint="eastAsia"/>
          <w:highlight w:val="none"/>
        </w:rPr>
      </w:pPr>
    </w:p>
    <w:p>
      <w:pPr>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F0E46"/>
    <w:multiLevelType w:val="singleLevel"/>
    <w:tmpl w:val="D8BF0E46"/>
    <w:lvl w:ilvl="0" w:tentative="0">
      <w:start w:val="4"/>
      <w:numFmt w:val="chineseCounting"/>
      <w:suff w:val="nothing"/>
      <w:lvlText w:val="%1、"/>
      <w:lvlJc w:val="left"/>
      <w:rPr>
        <w:rFonts w:hint="eastAsia"/>
      </w:rPr>
    </w:lvl>
  </w:abstractNum>
  <w:abstractNum w:abstractNumId="1">
    <w:nsid w:val="F274E854"/>
    <w:multiLevelType w:val="singleLevel"/>
    <w:tmpl w:val="F274E854"/>
    <w:lvl w:ilvl="0" w:tentative="0">
      <w:start w:val="5"/>
      <w:numFmt w:val="chineseCounting"/>
      <w:suff w:val="nothing"/>
      <w:lvlText w:val="(%1）"/>
      <w:lvlJc w:val="left"/>
      <w:rPr>
        <w:rFonts w:hint="eastAsia"/>
      </w:rPr>
    </w:lvl>
  </w:abstractNum>
  <w:abstractNum w:abstractNumId="2">
    <w:nsid w:val="5C423F33"/>
    <w:multiLevelType w:val="singleLevel"/>
    <w:tmpl w:val="5C423F33"/>
    <w:lvl w:ilvl="0" w:tentative="0">
      <w:start w:val="1"/>
      <w:numFmt w:val="chineseCounting"/>
      <w:suff w:val="nothing"/>
      <w:lvlText w:val="%1、"/>
      <w:lvlJc w:val="left"/>
      <w:pPr>
        <w:ind w:left="-1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5B83"/>
    <w:rsid w:val="00471BE6"/>
    <w:rsid w:val="0077759C"/>
    <w:rsid w:val="02C31E14"/>
    <w:rsid w:val="071B3FE1"/>
    <w:rsid w:val="08101C41"/>
    <w:rsid w:val="0D0230E3"/>
    <w:rsid w:val="0DAB01BA"/>
    <w:rsid w:val="0FB9610A"/>
    <w:rsid w:val="0FFE6827"/>
    <w:rsid w:val="108F3FC5"/>
    <w:rsid w:val="10997447"/>
    <w:rsid w:val="11855DCB"/>
    <w:rsid w:val="124D7D92"/>
    <w:rsid w:val="13573AC8"/>
    <w:rsid w:val="13763A16"/>
    <w:rsid w:val="14AE78FC"/>
    <w:rsid w:val="16F46EE5"/>
    <w:rsid w:val="17E70043"/>
    <w:rsid w:val="1AA46669"/>
    <w:rsid w:val="1AF34BFF"/>
    <w:rsid w:val="1BEF763A"/>
    <w:rsid w:val="1E396ABD"/>
    <w:rsid w:val="1EE86942"/>
    <w:rsid w:val="21DE311D"/>
    <w:rsid w:val="22921CC7"/>
    <w:rsid w:val="22C16F03"/>
    <w:rsid w:val="22C54863"/>
    <w:rsid w:val="24412907"/>
    <w:rsid w:val="2475064C"/>
    <w:rsid w:val="24AE0D3C"/>
    <w:rsid w:val="2A606694"/>
    <w:rsid w:val="2AE0599B"/>
    <w:rsid w:val="2DBA0995"/>
    <w:rsid w:val="2DBE6899"/>
    <w:rsid w:val="334E34B9"/>
    <w:rsid w:val="3B5570E7"/>
    <w:rsid w:val="3C2C0044"/>
    <w:rsid w:val="3D55462F"/>
    <w:rsid w:val="3DF66A3B"/>
    <w:rsid w:val="3EA5431D"/>
    <w:rsid w:val="3F7F5B83"/>
    <w:rsid w:val="40107D2A"/>
    <w:rsid w:val="40302F90"/>
    <w:rsid w:val="40DE5DF9"/>
    <w:rsid w:val="42112CF3"/>
    <w:rsid w:val="425112E1"/>
    <w:rsid w:val="425E61F3"/>
    <w:rsid w:val="42C0004A"/>
    <w:rsid w:val="45865C44"/>
    <w:rsid w:val="46655605"/>
    <w:rsid w:val="48BE4436"/>
    <w:rsid w:val="4AA8710A"/>
    <w:rsid w:val="4C205671"/>
    <w:rsid w:val="4CCE6A8F"/>
    <w:rsid w:val="4E686830"/>
    <w:rsid w:val="4F500D2C"/>
    <w:rsid w:val="500F5003"/>
    <w:rsid w:val="527B5D61"/>
    <w:rsid w:val="546E6190"/>
    <w:rsid w:val="5537365B"/>
    <w:rsid w:val="57CB65E9"/>
    <w:rsid w:val="58E41B62"/>
    <w:rsid w:val="59FB29AF"/>
    <w:rsid w:val="5B4C1057"/>
    <w:rsid w:val="5B5365AB"/>
    <w:rsid w:val="602D09FC"/>
    <w:rsid w:val="60870FF5"/>
    <w:rsid w:val="6222328F"/>
    <w:rsid w:val="64C53862"/>
    <w:rsid w:val="68F62110"/>
    <w:rsid w:val="6A0D3D09"/>
    <w:rsid w:val="6A66349E"/>
    <w:rsid w:val="70971C96"/>
    <w:rsid w:val="71035F4F"/>
    <w:rsid w:val="711764C9"/>
    <w:rsid w:val="72ED2305"/>
    <w:rsid w:val="75F1698E"/>
    <w:rsid w:val="765B4BC1"/>
    <w:rsid w:val="77181C73"/>
    <w:rsid w:val="79933281"/>
    <w:rsid w:val="79DF1182"/>
    <w:rsid w:val="7B4C2F30"/>
    <w:rsid w:val="7E52614D"/>
    <w:rsid w:val="7FF5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10"/>
    <w:pPr>
      <w:widowControl/>
      <w:spacing w:before="240" w:after="60"/>
      <w:jc w:val="center"/>
      <w:outlineLvl w:val="0"/>
    </w:pPr>
    <w:rPr>
      <w:rFonts w:ascii="等线 Light" w:hAnsi="等线 Light" w:eastAsia="宋体" w:cs="宋体"/>
      <w:b/>
      <w:bCs/>
      <w:kern w:val="0"/>
      <w:sz w:val="32"/>
      <w:szCs w:val="32"/>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pPr>
  </w:style>
  <w:style w:type="paragraph" w:styleId="5">
    <w:name w:val="Body Text"/>
    <w:basedOn w:val="1"/>
    <w:next w:val="1"/>
    <w:unhideWhenUsed/>
    <w:qFormat/>
    <w:uiPriority w:val="99"/>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jc w:val="left"/>
    </w:pPr>
    <w:rPr>
      <w:rFonts w:ascii="Calibri" w:hAnsi="Calibri" w:eastAsia="宋体" w:cs="Times New Roman"/>
      <w:kern w:val="0"/>
      <w:sz w:val="24"/>
    </w:rPr>
  </w:style>
  <w:style w:type="paragraph" w:styleId="8">
    <w:name w:val="Body Text First Indent"/>
    <w:basedOn w:val="5"/>
    <w:next w:val="4"/>
    <w:unhideWhenUsed/>
    <w:qFormat/>
    <w:uiPriority w:val="99"/>
    <w:pPr>
      <w:ind w:firstLine="720" w:firstLineChars="200"/>
    </w:pPr>
    <w:rPr>
      <w:rFonts w:ascii="仿宋_GB2312" w:hAnsi="仿宋_GB2312" w:eastAsia="仿宋_GB2312"/>
    </w:rPr>
  </w:style>
  <w:style w:type="character" w:styleId="11">
    <w:name w:val="Hyperlink"/>
    <w:basedOn w:val="10"/>
    <w:qFormat/>
    <w:uiPriority w:val="0"/>
    <w:rPr>
      <w:color w:val="0000FF"/>
      <w:u w:val="single"/>
    </w:rPr>
  </w:style>
  <w:style w:type="character" w:customStyle="1" w:styleId="12">
    <w:name w:val="font41"/>
    <w:basedOn w:val="10"/>
    <w:qFormat/>
    <w:uiPriority w:val="0"/>
    <w:rPr>
      <w:rFonts w:ascii="Tahoma" w:hAnsi="Tahoma" w:eastAsia="Tahoma" w:cs="Tahoma"/>
      <w:color w:val="000000"/>
      <w:sz w:val="16"/>
      <w:szCs w:val="16"/>
      <w:u w:val="none"/>
    </w:rPr>
  </w:style>
  <w:style w:type="character" w:customStyle="1" w:styleId="13">
    <w:name w:val="font3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2024-01-22T01:52:00Z</dcterms:created>
  <dc:creator>Administrator</dc:creator>
  <cp:lastModifiedBy>Administrator</cp:lastModifiedBy>
  <dcterms:modified xsi:type="dcterms:W3CDTF">2026-05-20T09:33:21Z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A3A3D98142DA4B819E8148A86D00E88C</vt:lpwstr>
  </property>
</Properties>
</file>