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168" w:afterAutospacing="0" w:line="500" w:lineRule="exact"/>
        <w:ind w:left="0" w:right="0" w:firstLine="0"/>
        <w:jc w:val="center"/>
        <w:textAlignment w:val="auto"/>
        <w:rPr>
          <w:rFonts w:hint="eastAsia" w:asciiTheme="majorEastAsia" w:hAnsiTheme="majorEastAsia" w:eastAsiaTheme="majorEastAsia" w:cstheme="majorEastAsia"/>
          <w:i w:val="0"/>
          <w:iCs w:val="0"/>
          <w:caps w:val="0"/>
          <w:spacing w:val="7"/>
          <w:sz w:val="44"/>
          <w:szCs w:val="44"/>
          <w:shd w:val="clear" w:color="auto" w:fill="FFFFFF"/>
        </w:rPr>
      </w:pPr>
      <w:r>
        <w:rPr>
          <w:rFonts w:hint="eastAsia" w:asciiTheme="majorEastAsia" w:hAnsiTheme="majorEastAsia" w:eastAsiaTheme="majorEastAsia" w:cstheme="majorEastAsia"/>
          <w:i w:val="0"/>
          <w:iCs w:val="0"/>
          <w:caps w:val="0"/>
          <w:spacing w:val="7"/>
          <w:sz w:val="44"/>
          <w:szCs w:val="44"/>
          <w:shd w:val="clear" w:color="auto" w:fill="FFFFFF"/>
          <w:lang w:eastAsia="zh-CN"/>
        </w:rPr>
        <w:t>江苏睢宁</w:t>
      </w:r>
      <w:r>
        <w:rPr>
          <w:rFonts w:hint="eastAsia" w:asciiTheme="majorEastAsia" w:hAnsiTheme="majorEastAsia" w:eastAsiaTheme="majorEastAsia" w:cstheme="majorEastAsia"/>
          <w:i w:val="0"/>
          <w:iCs w:val="0"/>
          <w:caps w:val="0"/>
          <w:spacing w:val="7"/>
          <w:sz w:val="44"/>
          <w:szCs w:val="44"/>
          <w:shd w:val="clear" w:color="auto" w:fill="FFFFFF"/>
        </w:rPr>
        <w:t>农村商业银行股份有限公司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168" w:afterAutospacing="0" w:line="500" w:lineRule="exact"/>
        <w:ind w:left="0" w:right="0" w:firstLine="0"/>
        <w:jc w:val="center"/>
        <w:textAlignment w:val="auto"/>
        <w:rPr>
          <w:rFonts w:hint="eastAsia" w:asciiTheme="majorEastAsia" w:hAnsiTheme="majorEastAsia" w:eastAsiaTheme="majorEastAsia" w:cstheme="majorEastAsia"/>
          <w:i w:val="0"/>
          <w:iCs w:val="0"/>
          <w:caps w:val="0"/>
          <w:spacing w:val="7"/>
          <w:sz w:val="44"/>
          <w:szCs w:val="44"/>
          <w:shd w:val="clear" w:color="auto" w:fill="FFFFFF"/>
        </w:rPr>
      </w:pPr>
      <w:r>
        <w:rPr>
          <w:rFonts w:hint="eastAsia" w:asciiTheme="majorEastAsia" w:hAnsiTheme="majorEastAsia" w:eastAsiaTheme="majorEastAsia" w:cstheme="majorEastAsia"/>
          <w:i w:val="0"/>
          <w:iCs w:val="0"/>
          <w:caps w:val="0"/>
          <w:spacing w:val="7"/>
          <w:sz w:val="44"/>
          <w:szCs w:val="44"/>
          <w:shd w:val="clear" w:color="auto" w:fill="FFFFFF"/>
        </w:rPr>
        <w:t>202</w:t>
      </w:r>
      <w:r>
        <w:rPr>
          <w:rFonts w:hint="eastAsia" w:asciiTheme="majorEastAsia" w:hAnsiTheme="majorEastAsia" w:eastAsiaTheme="majorEastAsia" w:cstheme="majorEastAsia"/>
          <w:i w:val="0"/>
          <w:iCs w:val="0"/>
          <w:caps w:val="0"/>
          <w:spacing w:val="7"/>
          <w:sz w:val="44"/>
          <w:szCs w:val="44"/>
          <w:shd w:val="clear" w:color="auto" w:fill="FFFFFF"/>
          <w:lang w:val="en-US" w:eastAsia="zh-CN"/>
        </w:rPr>
        <w:t>6</w:t>
      </w:r>
      <w:r>
        <w:rPr>
          <w:rFonts w:hint="eastAsia" w:asciiTheme="majorEastAsia" w:hAnsiTheme="majorEastAsia" w:eastAsiaTheme="majorEastAsia" w:cstheme="majorEastAsia"/>
          <w:i w:val="0"/>
          <w:iCs w:val="0"/>
          <w:caps w:val="0"/>
          <w:spacing w:val="7"/>
          <w:sz w:val="44"/>
          <w:szCs w:val="44"/>
          <w:shd w:val="clear" w:color="auto" w:fill="FFFFFF"/>
        </w:rPr>
        <w:t>年第</w:t>
      </w:r>
      <w:r>
        <w:rPr>
          <w:rFonts w:hint="eastAsia" w:asciiTheme="majorEastAsia" w:hAnsiTheme="majorEastAsia" w:eastAsiaTheme="majorEastAsia" w:cstheme="majorEastAsia"/>
          <w:i w:val="0"/>
          <w:iCs w:val="0"/>
          <w:caps w:val="0"/>
          <w:spacing w:val="7"/>
          <w:sz w:val="44"/>
          <w:szCs w:val="44"/>
          <w:shd w:val="clear" w:color="auto" w:fill="FFFFFF"/>
          <w:lang w:eastAsia="zh-CN"/>
        </w:rPr>
        <w:t>一</w:t>
      </w:r>
      <w:r>
        <w:rPr>
          <w:rFonts w:hint="eastAsia" w:asciiTheme="majorEastAsia" w:hAnsiTheme="majorEastAsia" w:eastAsiaTheme="majorEastAsia" w:cstheme="majorEastAsia"/>
          <w:i w:val="0"/>
          <w:iCs w:val="0"/>
          <w:caps w:val="0"/>
          <w:spacing w:val="7"/>
          <w:sz w:val="44"/>
          <w:szCs w:val="44"/>
          <w:shd w:val="clear" w:color="auto" w:fill="FFFFFF"/>
        </w:rPr>
        <w:t>季度第三支柱信息披露报告</w:t>
      </w:r>
    </w:p>
    <w:p>
      <w:pPr>
        <w:keepNext w:val="0"/>
        <w:keepLines w:val="0"/>
        <w:pageBreakBefore w:val="0"/>
        <w:kinsoku/>
        <w:wordWrap/>
        <w:overflowPunct/>
        <w:topLinePunct w:val="0"/>
        <w:autoSpaceDE/>
        <w:autoSpaceDN/>
        <w:bidi w:val="0"/>
        <w:adjustRightInd w:val="0"/>
        <w:snapToGrid w:val="0"/>
        <w:spacing w:line="500" w:lineRule="exact"/>
        <w:textAlignment w:val="auto"/>
        <w:rPr>
          <w:rFonts w:hint="eastAsia"/>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exact"/>
        <w:ind w:right="300" w:firstLine="664" w:firstLineChars="200"/>
        <w:jc w:val="both"/>
        <w:textAlignment w:val="auto"/>
        <w:rPr>
          <w:rFonts w:hint="eastAsia" w:ascii="仿宋_GB2312" w:hAnsi="仿宋_GB2312" w:eastAsia="仿宋_GB2312" w:cs="仿宋_GB2312"/>
          <w:i w:val="0"/>
          <w:iCs w:val="0"/>
          <w:caps w:val="0"/>
          <w:color w:val="auto"/>
          <w:spacing w:val="6"/>
          <w:sz w:val="32"/>
          <w:szCs w:val="32"/>
          <w:lang w:eastAsia="zh-CN"/>
        </w:rPr>
      </w:pPr>
      <w:r>
        <w:rPr>
          <w:rFonts w:hint="eastAsia" w:ascii="仿宋_GB2312" w:hAnsi="仿宋_GB2312" w:eastAsia="仿宋_GB2312" w:cs="仿宋_GB2312"/>
          <w:i w:val="0"/>
          <w:iCs w:val="0"/>
          <w:caps w:val="0"/>
          <w:color w:val="auto"/>
          <w:spacing w:val="6"/>
          <w:sz w:val="32"/>
          <w:szCs w:val="32"/>
        </w:rPr>
        <w:t>根据《商业银行资本管理办法》（以下简称“办法”）中附件22《商业银行信息披露内容和要求》</w:t>
      </w:r>
      <w:r>
        <w:rPr>
          <w:rFonts w:hint="eastAsia" w:ascii="仿宋_GB2312" w:hAnsi="仿宋_GB2312" w:eastAsia="仿宋_GB2312" w:cs="仿宋_GB2312"/>
          <w:i w:val="0"/>
          <w:iCs w:val="0"/>
          <w:caps w:val="0"/>
          <w:color w:val="auto"/>
          <w:spacing w:val="6"/>
          <w:sz w:val="32"/>
          <w:szCs w:val="32"/>
          <w:lang w:eastAsia="zh-CN"/>
        </w:rPr>
        <w:t>的规定</w:t>
      </w:r>
      <w:r>
        <w:rPr>
          <w:rFonts w:hint="eastAsia" w:ascii="仿宋_GB2312" w:hAnsi="仿宋_GB2312" w:eastAsia="仿宋_GB2312" w:cs="仿宋_GB2312"/>
          <w:i w:val="0"/>
          <w:iCs w:val="0"/>
          <w:caps w:val="0"/>
          <w:color w:val="auto"/>
          <w:spacing w:val="6"/>
          <w:sz w:val="32"/>
          <w:szCs w:val="32"/>
        </w:rPr>
        <w:t>，本</w:t>
      </w:r>
      <w:r>
        <w:rPr>
          <w:rFonts w:hint="eastAsia" w:ascii="仿宋_GB2312" w:hAnsi="仿宋_GB2312" w:eastAsia="仿宋_GB2312" w:cs="仿宋_GB2312"/>
          <w:i w:val="0"/>
          <w:iCs w:val="0"/>
          <w:caps w:val="0"/>
          <w:color w:val="auto"/>
          <w:spacing w:val="6"/>
          <w:sz w:val="32"/>
          <w:szCs w:val="32"/>
          <w:lang w:eastAsia="zh-CN"/>
        </w:rPr>
        <w:t>公司</w:t>
      </w:r>
      <w:r>
        <w:rPr>
          <w:rFonts w:hint="eastAsia" w:ascii="仿宋_GB2312" w:hAnsi="仿宋_GB2312" w:eastAsia="仿宋_GB2312" w:cs="仿宋_GB2312"/>
          <w:i w:val="0"/>
          <w:iCs w:val="0"/>
          <w:caps w:val="0"/>
          <w:color w:val="auto"/>
          <w:spacing w:val="6"/>
          <w:sz w:val="32"/>
          <w:szCs w:val="32"/>
        </w:rPr>
        <w:t>为非国内系统重要性银行，划分标准适用于二档商业银行</w:t>
      </w:r>
      <w:r>
        <w:rPr>
          <w:rFonts w:hint="eastAsia" w:ascii="仿宋_GB2312" w:hAnsi="仿宋_GB2312" w:eastAsia="仿宋_GB2312" w:cs="仿宋_GB2312"/>
          <w:i w:val="0"/>
          <w:iCs w:val="0"/>
          <w:caps w:val="0"/>
          <w:color w:val="auto"/>
          <w:spacing w:val="6"/>
          <w:sz w:val="32"/>
          <w:szCs w:val="32"/>
          <w:lang w:eastAsia="zh-CN"/>
        </w:rPr>
        <w:t>，现向</w:t>
      </w:r>
      <w:r>
        <w:rPr>
          <w:rFonts w:hint="eastAsia" w:ascii="仿宋_GB2312" w:hAnsi="仿宋_GB2312" w:eastAsia="仿宋_GB2312" w:cs="仿宋_GB2312"/>
          <w:i w:val="0"/>
          <w:iCs w:val="0"/>
          <w:caps w:val="0"/>
          <w:color w:val="auto"/>
          <w:spacing w:val="6"/>
          <w:sz w:val="32"/>
          <w:szCs w:val="32"/>
        </w:rPr>
        <w:t>投资者和社会公众披露相关信息</w:t>
      </w:r>
      <w:r>
        <w:rPr>
          <w:rFonts w:hint="eastAsia" w:ascii="仿宋_GB2312" w:hAnsi="仿宋_GB2312" w:eastAsia="仿宋_GB2312" w:cs="仿宋_GB2312"/>
          <w:i w:val="0"/>
          <w:iCs w:val="0"/>
          <w:caps w:val="0"/>
          <w:color w:val="auto"/>
          <w:spacing w:val="6"/>
          <w:sz w:val="32"/>
          <w:szCs w:val="32"/>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exact"/>
        <w:ind w:right="300" w:firstLine="664" w:firstLineChars="200"/>
        <w:jc w:val="both"/>
        <w:textAlignment w:val="auto"/>
        <w:rPr>
          <w:rFonts w:hint="eastAsia" w:ascii="仿宋_GB2312" w:hAnsi="仿宋_GB2312" w:eastAsia="仿宋_GB2312" w:cs="仿宋_GB2312"/>
          <w:i w:val="0"/>
          <w:iCs w:val="0"/>
          <w:caps w:val="0"/>
          <w:color w:val="auto"/>
          <w:spacing w:val="6"/>
          <w:sz w:val="32"/>
          <w:szCs w:val="32"/>
        </w:rPr>
      </w:pPr>
      <w:r>
        <w:rPr>
          <w:rFonts w:hint="eastAsia" w:ascii="仿宋_GB2312" w:hAnsi="仿宋_GB2312" w:eastAsia="仿宋_GB2312" w:cs="仿宋_GB2312"/>
          <w:i w:val="0"/>
          <w:iCs w:val="0"/>
          <w:caps w:val="0"/>
          <w:color w:val="auto"/>
          <w:spacing w:val="6"/>
          <w:sz w:val="32"/>
          <w:szCs w:val="32"/>
        </w:rPr>
        <w:t>根据</w:t>
      </w:r>
      <w:r>
        <w:rPr>
          <w:rFonts w:hint="eastAsia" w:ascii="仿宋_GB2312" w:hAnsi="仿宋_GB2312" w:eastAsia="仿宋_GB2312" w:cs="仿宋_GB2312"/>
          <w:i w:val="0"/>
          <w:iCs w:val="0"/>
          <w:caps w:val="0"/>
          <w:color w:val="auto"/>
          <w:spacing w:val="6"/>
          <w:sz w:val="32"/>
          <w:szCs w:val="32"/>
          <w:lang w:eastAsia="zh-CN"/>
        </w:rPr>
        <w:t>办法</w:t>
      </w:r>
      <w:r>
        <w:rPr>
          <w:rFonts w:hint="eastAsia" w:ascii="仿宋_GB2312" w:hAnsi="仿宋_GB2312" w:eastAsia="仿宋_GB2312" w:cs="仿宋_GB2312"/>
          <w:i w:val="0"/>
          <w:iCs w:val="0"/>
          <w:caps w:val="0"/>
          <w:color w:val="auto"/>
          <w:spacing w:val="6"/>
          <w:sz w:val="32"/>
          <w:szCs w:val="32"/>
        </w:rPr>
        <w:t>，本</w:t>
      </w:r>
      <w:r>
        <w:rPr>
          <w:rFonts w:hint="eastAsia" w:ascii="仿宋_GB2312" w:hAnsi="仿宋_GB2312" w:eastAsia="仿宋_GB2312" w:cs="仿宋_GB2312"/>
          <w:i w:val="0"/>
          <w:iCs w:val="0"/>
          <w:caps w:val="0"/>
          <w:color w:val="auto"/>
          <w:spacing w:val="6"/>
          <w:sz w:val="32"/>
          <w:szCs w:val="32"/>
          <w:lang w:eastAsia="zh-CN"/>
        </w:rPr>
        <w:t>公司</w:t>
      </w:r>
      <w:r>
        <w:rPr>
          <w:rFonts w:hint="eastAsia" w:ascii="仿宋_GB2312" w:hAnsi="仿宋_GB2312" w:eastAsia="仿宋_GB2312" w:cs="仿宋_GB2312"/>
          <w:i w:val="0"/>
          <w:iCs w:val="0"/>
          <w:caps w:val="0"/>
          <w:color w:val="auto"/>
          <w:spacing w:val="6"/>
          <w:sz w:val="32"/>
          <w:szCs w:val="32"/>
        </w:rPr>
        <w:t>首次披露相关信息，无需对前期数据追溯披露。本季度需披露的报表如下:</w:t>
      </w:r>
      <w:bookmarkStart w:id="0" w:name="_GoBack"/>
      <w:bookmarkEnd w:id="0"/>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exact"/>
        <w:ind w:left="300" w:right="300" w:firstLine="420"/>
        <w:jc w:val="both"/>
        <w:textAlignment w:val="auto"/>
        <w:rPr>
          <w:rFonts w:hint="eastAsia" w:ascii="仿宋_GB2312" w:hAnsi="仿宋_GB2312" w:eastAsia="仿宋_GB2312" w:cs="仿宋_GB2312"/>
          <w:i w:val="0"/>
          <w:iCs w:val="0"/>
          <w:caps w:val="0"/>
          <w:color w:val="auto"/>
          <w:spacing w:val="7"/>
          <w:sz w:val="32"/>
          <w:szCs w:val="32"/>
        </w:rPr>
      </w:pPr>
      <w:r>
        <w:rPr>
          <w:rFonts w:hint="eastAsia" w:ascii="仿宋_GB2312" w:hAnsi="仿宋_GB2312" w:eastAsia="仿宋_GB2312" w:cs="仿宋_GB2312"/>
          <w:i w:val="0"/>
          <w:iCs w:val="0"/>
          <w:caps w:val="0"/>
          <w:color w:val="auto"/>
          <w:spacing w:val="6"/>
          <w:sz w:val="32"/>
          <w:szCs w:val="32"/>
        </w:rPr>
        <w:t>1.KM1监管并表关键审慎监管指标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atLeast"/>
        <w:ind w:left="300" w:right="300" w:firstLine="420"/>
        <w:jc w:val="right"/>
        <w:textAlignment w:val="auto"/>
        <w:rPr>
          <w:rFonts w:hint="eastAsia" w:ascii="仿宋_GB2312" w:hAnsi="仿宋_GB2312" w:eastAsia="仿宋_GB2312" w:cs="仿宋_GB2312"/>
          <w:i w:val="0"/>
          <w:iCs w:val="0"/>
          <w:caps w:val="0"/>
          <w:color w:val="auto"/>
          <w:spacing w:val="7"/>
          <w:sz w:val="32"/>
          <w:szCs w:val="32"/>
        </w:rPr>
      </w:pPr>
      <w:r>
        <w:rPr>
          <w:rFonts w:hint="eastAsia" w:ascii="仿宋_GB2312" w:hAnsi="仿宋_GB2312" w:eastAsia="仿宋_GB2312" w:cs="仿宋_GB2312"/>
          <w:i w:val="0"/>
          <w:iCs w:val="0"/>
          <w:caps w:val="0"/>
          <w:color w:val="auto"/>
          <w:spacing w:val="6"/>
          <w:sz w:val="32"/>
          <w:szCs w:val="32"/>
        </w:rPr>
        <w:t>单位：</w:t>
      </w:r>
      <w:r>
        <w:rPr>
          <w:rFonts w:hint="eastAsia" w:ascii="仿宋_GB2312" w:hAnsi="仿宋_GB2312" w:eastAsia="仿宋_GB2312" w:cs="仿宋_GB2312"/>
          <w:i w:val="0"/>
          <w:iCs w:val="0"/>
          <w:caps w:val="0"/>
          <w:color w:val="auto"/>
          <w:spacing w:val="6"/>
          <w:sz w:val="32"/>
          <w:szCs w:val="32"/>
          <w:lang w:eastAsia="zh-CN"/>
        </w:rPr>
        <w:t>人民币</w:t>
      </w:r>
      <w:r>
        <w:rPr>
          <w:rFonts w:hint="eastAsia" w:ascii="仿宋_GB2312" w:hAnsi="仿宋_GB2312" w:eastAsia="仿宋_GB2312" w:cs="仿宋_GB2312"/>
          <w:i w:val="0"/>
          <w:iCs w:val="0"/>
          <w:caps w:val="0"/>
          <w:color w:val="auto"/>
          <w:spacing w:val="6"/>
          <w:sz w:val="32"/>
          <w:szCs w:val="32"/>
        </w:rPr>
        <w:t>万元、%</w:t>
      </w:r>
    </w:p>
    <w:tbl>
      <w:tblPr>
        <w:tblStyle w:val="4"/>
        <w:tblW w:w="1044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2"/>
        <w:gridCol w:w="3260"/>
        <w:gridCol w:w="1663"/>
        <w:gridCol w:w="1663"/>
        <w:gridCol w:w="1663"/>
        <w:gridCol w:w="166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792" w:type="dxa"/>
            <w:gridSpan w:val="2"/>
            <w:vMerge w:val="restart"/>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　</w:t>
            </w:r>
          </w:p>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a</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b</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c</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d</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3792" w:type="dxa"/>
            <w:gridSpan w:val="2"/>
            <w:vMerge w:val="continue"/>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2026年3月31日</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2025年12月31日</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2025年9月30日</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2025年6月30日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rPr>
                <w:rFonts w:hint="eastAsia" w:ascii="仿宋_GB2312" w:hAnsi="仿宋" w:eastAsia="仿宋_GB2312" w:cs="Arial Unicode MS"/>
                <w:b/>
                <w:bCs/>
                <w:color w:val="000000" w:themeColor="text1"/>
                <w:sz w:val="28"/>
                <w:szCs w:val="28"/>
                <w14:textFill>
                  <w14:solidFill>
                    <w14:schemeClr w14:val="tx1"/>
                  </w14:solidFill>
                </w14:textFill>
              </w:rPr>
            </w:pPr>
            <w:r>
              <w:rPr>
                <w:rFonts w:hint="eastAsia" w:ascii="仿宋_GB2312" w:hAnsi="仿宋" w:eastAsia="仿宋_GB2312" w:cs="Arial Unicode MS"/>
                <w:b/>
                <w:bCs/>
                <w:color w:val="000000" w:themeColor="text1"/>
                <w:sz w:val="28"/>
                <w:szCs w:val="28"/>
                <w14:textFill>
                  <w14:solidFill>
                    <w14:schemeClr w14:val="tx1"/>
                  </w14:solidFill>
                </w14:textFill>
              </w:rPr>
              <w:t>可用资本（</w:t>
            </w:r>
            <w:r>
              <w:rPr>
                <w:rFonts w:hint="eastAsia" w:ascii="仿宋_GB2312" w:hAnsi="仿宋" w:eastAsia="仿宋_GB2312" w:cs="Arial Unicode MS"/>
                <w:b/>
                <w:bCs/>
                <w:color w:val="000000" w:themeColor="text1"/>
                <w:sz w:val="28"/>
                <w:szCs w:val="28"/>
                <w:lang w:eastAsia="zh-CN"/>
                <w14:textFill>
                  <w14:solidFill>
                    <w14:schemeClr w14:val="tx1"/>
                  </w14:solidFill>
                </w14:textFill>
              </w:rPr>
              <w:t>数</w:t>
            </w:r>
            <w:r>
              <w:rPr>
                <w:rFonts w:hint="eastAsia" w:ascii="仿宋_GB2312" w:hAnsi="仿宋" w:eastAsia="仿宋_GB2312" w:cs="Arial Unicode MS"/>
                <w:b/>
                <w:bCs/>
                <w:color w:val="000000" w:themeColor="text1"/>
                <w:sz w:val="28"/>
                <w:szCs w:val="28"/>
                <w14:textFill>
                  <w14:solidFill>
                    <w14:schemeClr w14:val="tx1"/>
                  </w14:solidFill>
                </w14:textFill>
              </w:rPr>
              <w:t>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核心一级资本净额</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276,817.45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277,008.02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290229.14</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290182.21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2</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一级资本</w:t>
            </w:r>
            <w:r>
              <w:rPr>
                <w:rFonts w:hint="eastAsia" w:ascii="仿宋_GB2312" w:hAnsi="仿宋" w:eastAsia="仿宋_GB2312" w:cs="Arial Unicode MS"/>
                <w:color w:val="000000" w:themeColor="text1"/>
                <w:sz w:val="28"/>
                <w:szCs w:val="28"/>
                <w:lang w:eastAsia="zh-CN"/>
                <w14:textFill>
                  <w14:solidFill>
                    <w14:schemeClr w14:val="tx1"/>
                  </w14:solidFill>
                </w14:textFill>
              </w:rPr>
              <w:t>净额</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276,817.45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277,008.02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290229.14</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290182.21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3</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资本</w:t>
            </w:r>
            <w:r>
              <w:rPr>
                <w:rFonts w:hint="eastAsia" w:ascii="仿宋_GB2312" w:hAnsi="仿宋" w:eastAsia="仿宋_GB2312" w:cs="Arial Unicode MS"/>
                <w:color w:val="000000" w:themeColor="text1"/>
                <w:sz w:val="28"/>
                <w:szCs w:val="28"/>
                <w:lang w:eastAsia="zh-CN"/>
                <w14:textFill>
                  <w14:solidFill>
                    <w14:schemeClr w14:val="tx1"/>
                  </w14:solidFill>
                </w14:textFill>
              </w:rPr>
              <w:t>净额</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299,978.98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298,611.20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312492.65</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312431.98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风险加权资产（数额）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4</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风险加权资产</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2057954.10 </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1931727.35</w:t>
            </w:r>
          </w:p>
        </w:tc>
        <w:tc>
          <w:tcPr>
            <w:tcW w:w="1663" w:type="dxa"/>
            <w:vAlign w:val="center"/>
          </w:tcPr>
          <w:p>
            <w:pPr>
              <w:snapToGrid w:val="0"/>
              <w:spacing w:line="480" w:lineRule="exact"/>
              <w:jc w:val="left"/>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1968581.63</w:t>
            </w:r>
          </w:p>
        </w:tc>
        <w:tc>
          <w:tcPr>
            <w:tcW w:w="1663" w:type="dxa"/>
            <w:vAlign w:val="center"/>
          </w:tcPr>
          <w:p>
            <w:pPr>
              <w:snapToGrid w:val="0"/>
              <w:spacing w:line="480" w:lineRule="exact"/>
              <w:jc w:val="left"/>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1967469.40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资本充足率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5</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核心一级资本充足率（</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13.45</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14.34</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14.74</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6</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一级资本充足率（</w:t>
            </w:r>
            <w:r>
              <w:rPr>
                <w:rFonts w:ascii="仿宋_GB2312" w:hAnsi="仿宋" w:eastAsia="仿宋_GB2312" w:cs="Arial Unicode MS"/>
                <w:color w:val="000000" w:themeColor="text1"/>
                <w:sz w:val="28"/>
                <w:szCs w:val="28"/>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13.45</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14.34</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14.74</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7</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资本充足率（</w:t>
            </w:r>
            <w:r>
              <w:rPr>
                <w:rFonts w:ascii="仿宋_GB2312" w:hAnsi="仿宋" w:eastAsia="仿宋_GB2312" w:cs="Arial Unicode MS"/>
                <w:color w:val="000000" w:themeColor="text1"/>
                <w:sz w:val="28"/>
                <w:szCs w:val="28"/>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14.58</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15.46</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15.87</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15.88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其他各级资本要求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8</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储备资本要求</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auto"/>
                <w:sz w:val="28"/>
                <w:szCs w:val="28"/>
                <w:lang w:val="en-US" w:eastAsia="zh-CN"/>
              </w:rPr>
              <w:t>2.50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9</w:t>
            </w:r>
          </w:p>
        </w:tc>
        <w:tc>
          <w:tcPr>
            <w:tcW w:w="3260" w:type="dxa"/>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逆周期资本要求（</w:t>
            </w:r>
            <w:r>
              <w:rPr>
                <w:rFonts w:ascii="仿宋_GB2312" w:hAnsi="仿宋" w:eastAsia="仿宋_GB2312" w:cs="Arial Unicode MS"/>
                <w:color w:val="000000" w:themeColor="text1"/>
                <w:sz w:val="28"/>
                <w:szCs w:val="28"/>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0.00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0.00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0.00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32" w:type="dxa"/>
            <w:shd w:val="clear" w:color="auto" w:fill="auto"/>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10</w:t>
            </w:r>
          </w:p>
        </w:tc>
        <w:tc>
          <w:tcPr>
            <w:tcW w:w="3260" w:type="dxa"/>
            <w:shd w:val="clear" w:color="auto" w:fill="auto"/>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全球系统重要性银行或国内系统重要性银行附加资本要求（</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shd w:val="clear" w:color="auto" w:fill="BEBEBE"/>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p>
        </w:tc>
        <w:tc>
          <w:tcPr>
            <w:tcW w:w="1663" w:type="dxa"/>
            <w:shd w:val="clear" w:color="auto" w:fill="BEBEBE"/>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p>
        </w:tc>
        <w:tc>
          <w:tcPr>
            <w:tcW w:w="1663" w:type="dxa"/>
            <w:shd w:val="clear" w:color="auto" w:fill="BEBEBE"/>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p>
        </w:tc>
        <w:tc>
          <w:tcPr>
            <w:tcW w:w="1663" w:type="dxa"/>
            <w:shd w:val="clear" w:color="auto" w:fill="BEBEBE"/>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11</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其他各级资本要求（</w:t>
            </w:r>
            <w:r>
              <w:rPr>
                <w:rFonts w:ascii="仿宋_GB2312" w:hAnsi="仿宋" w:eastAsia="仿宋_GB2312" w:cs="Arial Unicode MS"/>
                <w:color w:val="000000" w:themeColor="text1"/>
                <w:sz w:val="28"/>
                <w:szCs w:val="28"/>
                <w:lang w:eastAsia="zh-CN"/>
                <w14:textFill>
                  <w14:solidFill>
                    <w14:schemeClr w14:val="tx1"/>
                  </w14:solidFill>
                </w14:textFill>
              </w:rPr>
              <w:t>%）（8+9+10）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12</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满足最低资本要求后的可用核心一级资本净额占风险加权资产的比例（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6.58</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7.46</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7.87</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7.88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杠杆率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13</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调整后表内外资产余额</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default" w:ascii="仿宋_GB2312" w:hAnsi="仿宋_GB2312" w:eastAsia="仿宋_GB2312" w:cs="仿宋_GB2312"/>
                <w:color w:val="000000" w:themeColor="text1"/>
                <w:sz w:val="28"/>
                <w:szCs w:val="28"/>
                <w:lang w:val="en-US" w:eastAsia="zh-CN"/>
                <w14:textFill>
                  <w14:solidFill>
                    <w14:schemeClr w14:val="tx1"/>
                  </w14:solidFill>
                </w14:textFill>
              </w:rPr>
              <w:t>4124765.41</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3898795.02</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3968403.48</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3915144.22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14</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杠杆率</w:t>
            </w:r>
            <w:r>
              <w:rPr>
                <w:rFonts w:hint="eastAsia" w:ascii="仿宋_GB2312" w:hAnsi="仿宋" w:eastAsia="仿宋_GB2312" w:cs="Arial Unicode MS"/>
                <w:color w:val="000000" w:themeColor="text1"/>
                <w:sz w:val="28"/>
                <w:szCs w:val="28"/>
                <w:lang w:eastAsia="zh-CN"/>
                <w14:textFill>
                  <w14:solidFill>
                    <w14:schemeClr w14:val="tx1"/>
                  </w14:solidFill>
                </w14:textFill>
              </w:rPr>
              <w:t>（</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6.71</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7.10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7.31</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7.41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1</w:t>
            </w:r>
            <w:r>
              <w:rPr>
                <w:rFonts w:ascii="仿宋_GB2312" w:hAnsi="仿宋" w:eastAsia="仿宋_GB2312" w:cs="Arial Unicode MS"/>
                <w:color w:val="000000" w:themeColor="text1"/>
                <w:sz w:val="28"/>
                <w:szCs w:val="28"/>
                <w:lang w:eastAsia="zh-CN"/>
                <w14:textFill>
                  <w14:solidFill>
                    <w14:schemeClr w14:val="tx1"/>
                  </w14:solidFill>
                </w14:textFill>
              </w:rPr>
              <w:t>4</w:t>
            </w:r>
            <w:r>
              <w:rPr>
                <w:rFonts w:hint="eastAsia" w:ascii="仿宋_GB2312" w:hAnsi="仿宋" w:eastAsia="仿宋_GB2312" w:cs="Arial Unicode MS"/>
                <w:color w:val="000000" w:themeColor="text1"/>
                <w:sz w:val="28"/>
                <w:szCs w:val="28"/>
                <w:lang w:eastAsia="zh-CN"/>
                <w14:textFill>
                  <w14:solidFill>
                    <w14:schemeClr w14:val="tx1"/>
                  </w14:solidFill>
                </w14:textFill>
              </w:rPr>
              <w:t>a</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杠杆率a</w:t>
            </w:r>
            <w:r>
              <w:rPr>
                <w:rFonts w:hint="eastAsia" w:ascii="仿宋_GB2312" w:hAnsi="仿宋" w:eastAsia="仿宋_GB2312" w:cs="Arial Unicode MS"/>
                <w:color w:val="000000" w:themeColor="text1"/>
                <w:sz w:val="28"/>
                <w:szCs w:val="28"/>
                <w:lang w:eastAsia="zh-CN"/>
                <w14:textFill>
                  <w14:solidFill>
                    <w14:schemeClr w14:val="tx1"/>
                  </w14:solidFill>
                </w14:textFill>
              </w:rPr>
              <w:t>（</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6.71</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7.10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7.31</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7.41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流动性覆盖率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15</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合格优质流动性资产</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16</w:t>
            </w:r>
          </w:p>
        </w:tc>
        <w:tc>
          <w:tcPr>
            <w:tcW w:w="3260" w:type="dxa"/>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现金净流出</w:t>
            </w:r>
            <w:r>
              <w:rPr>
                <w:rFonts w:hint="eastAsia" w:ascii="仿宋_GB2312" w:hAnsi="仿宋" w:eastAsia="仿宋_GB2312" w:cs="Arial Unicode MS"/>
                <w:color w:val="000000" w:themeColor="text1"/>
                <w:sz w:val="28"/>
                <w:szCs w:val="28"/>
                <w:lang w:eastAsia="zh-CN"/>
                <w14:textFill>
                  <w14:solidFill>
                    <w14:schemeClr w14:val="tx1"/>
                  </w14:solidFill>
                </w14:textFill>
              </w:rPr>
              <w:t>量</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17</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流动性覆盖率（</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净稳定资金比例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18</w:t>
            </w:r>
          </w:p>
        </w:tc>
        <w:tc>
          <w:tcPr>
            <w:tcW w:w="3260" w:type="dxa"/>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可用稳定资金</w:t>
            </w:r>
            <w:r>
              <w:rPr>
                <w:rFonts w:hint="eastAsia" w:ascii="仿宋_GB2312" w:hAnsi="仿宋" w:eastAsia="仿宋_GB2312" w:cs="Arial Unicode MS"/>
                <w:color w:val="000000" w:themeColor="text1"/>
                <w:sz w:val="28"/>
                <w:szCs w:val="28"/>
                <w:lang w:eastAsia="zh-CN"/>
                <w14:textFill>
                  <w14:solidFill>
                    <w14:schemeClr w14:val="tx1"/>
                  </w14:solidFill>
                </w14:textFill>
              </w:rPr>
              <w:t>合计</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19</w:t>
            </w:r>
          </w:p>
        </w:tc>
        <w:tc>
          <w:tcPr>
            <w:tcW w:w="3260" w:type="dxa"/>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所需</w:t>
            </w:r>
            <w:r>
              <w:rPr>
                <w:rFonts w:hint="eastAsia" w:ascii="仿宋_GB2312" w:hAnsi="仿宋" w:eastAsia="仿宋_GB2312" w:cs="Arial Unicode MS"/>
                <w:color w:val="000000" w:themeColor="text1"/>
                <w:sz w:val="28"/>
                <w:szCs w:val="28"/>
                <w14:textFill>
                  <w14:solidFill>
                    <w14:schemeClr w14:val="tx1"/>
                  </w14:solidFill>
                </w14:textFill>
              </w:rPr>
              <w:t>稳定资金</w:t>
            </w:r>
            <w:r>
              <w:rPr>
                <w:rFonts w:hint="eastAsia" w:ascii="仿宋_GB2312" w:hAnsi="仿宋" w:eastAsia="仿宋_GB2312" w:cs="Arial Unicode MS"/>
                <w:color w:val="000000" w:themeColor="text1"/>
                <w:sz w:val="28"/>
                <w:szCs w:val="28"/>
                <w:lang w:eastAsia="zh-CN"/>
                <w14:textFill>
                  <w14:solidFill>
                    <w14:schemeClr w14:val="tx1"/>
                  </w14:solidFill>
                </w14:textFill>
              </w:rPr>
              <w:t>合计</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20</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净稳定资金比例（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auto" w:fill="D8D8D8"/>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流动性比例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32" w:type="dxa"/>
            <w:shd w:val="clear" w:color="auto" w:fill="FFFFFF"/>
            <w:vAlign w:val="center"/>
          </w:tcPr>
          <w:p>
            <w:pPr>
              <w:snapToGrid w:val="0"/>
              <w:spacing w:line="480" w:lineRule="exact"/>
              <w:jc w:val="center"/>
              <w:rPr>
                <w:rFonts w:ascii="仿宋_GB2312" w:hAnsi="仿宋" w:eastAsia="仿宋_GB2312" w:cs="Arial Unicode MS"/>
                <w:color w:val="000000" w:themeColor="text1"/>
                <w:sz w:val="28"/>
                <w:szCs w:val="28"/>
                <w:lang w:eastAsia="zh-CN"/>
                <w14:textFill>
                  <w14:solidFill>
                    <w14:schemeClr w14:val="tx1"/>
                  </w14:solidFill>
                </w14:textFill>
              </w:rPr>
            </w:pPr>
            <w:r>
              <w:rPr>
                <w:rFonts w:ascii="仿宋_GB2312" w:hAnsi="仿宋" w:eastAsia="仿宋_GB2312" w:cs="Arial Unicode MS"/>
                <w:color w:val="000000" w:themeColor="text1"/>
                <w:sz w:val="28"/>
                <w:szCs w:val="28"/>
                <w:lang w:eastAsia="zh-CN"/>
                <w14:textFill>
                  <w14:solidFill>
                    <w14:schemeClr w14:val="tx1"/>
                  </w14:solidFill>
                </w14:textFill>
              </w:rPr>
              <w:t>21</w:t>
            </w:r>
          </w:p>
        </w:tc>
        <w:tc>
          <w:tcPr>
            <w:tcW w:w="3260" w:type="dxa"/>
            <w:shd w:val="clear" w:color="auto" w:fill="FFFFFF"/>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流动性比例（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shd w:val="clear" w:color="auto" w:fill="FFFFFF"/>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112.87</w:t>
            </w:r>
          </w:p>
        </w:tc>
        <w:tc>
          <w:tcPr>
            <w:tcW w:w="1663" w:type="dxa"/>
            <w:shd w:val="clear" w:color="auto" w:fill="FFFFFF"/>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116.12</w:t>
            </w:r>
          </w:p>
        </w:tc>
        <w:tc>
          <w:tcPr>
            <w:tcW w:w="1663" w:type="dxa"/>
            <w:shd w:val="clear" w:color="auto" w:fill="FFFFFF"/>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102.13</w:t>
            </w:r>
          </w:p>
        </w:tc>
        <w:tc>
          <w:tcPr>
            <w:tcW w:w="1663" w:type="dxa"/>
            <w:shd w:val="clear" w:color="auto" w:fill="FFFFFF"/>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109.60</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80"/>
    <w:family w:val="swiss"/>
    <w:pitch w:val="default"/>
    <w:sig w:usb0="00000000" w:usb1="00000000" w:usb2="0000003F" w:usb3="00000000" w:csb0="603F01FF" w:csb1="FFFF0000"/>
  </w:font>
  <w:font w:name="Arial">
    <w:panose1 w:val="020B0604020202020204"/>
    <w:charset w:val="00"/>
    <w:family w:val="auto"/>
    <w:pitch w:val="default"/>
    <w:sig w:usb0="E0002EFF" w:usb1="C000785B" w:usb2="00000009" w:usb3="00000000" w:csb0="400001FF" w:csb1="FFFF0000"/>
  </w:font>
  <w:font w:name="PMingLi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577973"/>
    <w:rsid w:val="05F40C9C"/>
    <w:rsid w:val="0C7665F6"/>
    <w:rsid w:val="10504618"/>
    <w:rsid w:val="108F3AB3"/>
    <w:rsid w:val="12982901"/>
    <w:rsid w:val="13C67C8F"/>
    <w:rsid w:val="1573460A"/>
    <w:rsid w:val="15B708B1"/>
    <w:rsid w:val="15F83F9E"/>
    <w:rsid w:val="164264DF"/>
    <w:rsid w:val="166061B3"/>
    <w:rsid w:val="182E755F"/>
    <w:rsid w:val="1928247A"/>
    <w:rsid w:val="19793EE1"/>
    <w:rsid w:val="19CC63FE"/>
    <w:rsid w:val="1FD664DC"/>
    <w:rsid w:val="25BA31E1"/>
    <w:rsid w:val="27DD3FC8"/>
    <w:rsid w:val="2AD86AA3"/>
    <w:rsid w:val="2CBD606F"/>
    <w:rsid w:val="2CFC7705"/>
    <w:rsid w:val="30F60B1C"/>
    <w:rsid w:val="32374118"/>
    <w:rsid w:val="32434D18"/>
    <w:rsid w:val="335C567F"/>
    <w:rsid w:val="37486214"/>
    <w:rsid w:val="374F1938"/>
    <w:rsid w:val="38865D49"/>
    <w:rsid w:val="3BA557CF"/>
    <w:rsid w:val="3C825413"/>
    <w:rsid w:val="3CB72EDE"/>
    <w:rsid w:val="40892F3F"/>
    <w:rsid w:val="43BB4436"/>
    <w:rsid w:val="46C31719"/>
    <w:rsid w:val="48A2665F"/>
    <w:rsid w:val="4A1D4B70"/>
    <w:rsid w:val="4B843907"/>
    <w:rsid w:val="4C262343"/>
    <w:rsid w:val="4ED87C5F"/>
    <w:rsid w:val="557E2A18"/>
    <w:rsid w:val="55BF3185"/>
    <w:rsid w:val="567E3BFD"/>
    <w:rsid w:val="57515B9D"/>
    <w:rsid w:val="57566D1D"/>
    <w:rsid w:val="57635587"/>
    <w:rsid w:val="5D437B64"/>
    <w:rsid w:val="5E447C39"/>
    <w:rsid w:val="5E5C3458"/>
    <w:rsid w:val="64F51939"/>
    <w:rsid w:val="653F38C9"/>
    <w:rsid w:val="67C33381"/>
    <w:rsid w:val="69B12BE1"/>
    <w:rsid w:val="6CB577B3"/>
    <w:rsid w:val="70BF1375"/>
    <w:rsid w:val="70C64DD6"/>
    <w:rsid w:val="725568CC"/>
    <w:rsid w:val="72996E61"/>
    <w:rsid w:val="73CA6E6D"/>
    <w:rsid w:val="76B14087"/>
    <w:rsid w:val="7BD62465"/>
    <w:rsid w:val="7D5F48A0"/>
    <w:rsid w:val="7D5F5CBE"/>
    <w:rsid w:val="7F5A3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2024-05-22T07:06:00Z</dcterms:created>
  <dc:creator>LENOVO</dc:creator>
  <cp:lastModifiedBy>15530</cp:lastModifiedBy>
  <cp:lastPrinted>2024-10-25T03:09:00Z</cp:lastPrinted>
  <dcterms:modified xsi:type="dcterms:W3CDTF">2026-07-13T01:03:57Z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4724073FF9754F4DAC03DF224D3D22D9</vt:lpwstr>
  </property>
  <property fmtid="{D5CDD505-2E9C-101B-9397-08002B2CF9AE}" pid="3" name="KSOProductBuildVer">
    <vt:lpwstr>2052-11.8.2.11813</vt:lpwstr>
  </property>
  <property fmtid="{D5CDD505-2E9C-101B-9397-08002B2CF9AE}" pid="4" name="_gxcid">
    <vt:lpwstr>2357af1734615972</vt:lpwstr>
  </property>
  <property fmtid="{D5CDD505-2E9C-101B-9397-08002B2CF9AE}" pid="5" name="_gxdid">
    <vt:lpwstr>8e8a6e6ed9e9b709</vt:lpwstr>
  </property>
  <property fmtid="{D5CDD505-2E9C-101B-9397-08002B2CF9AE}" pid="6" name="_gxeid">
    <vt:lpwstr>5043de47</vt:lpwstr>
  </property>
  <property fmtid="{D5CDD505-2E9C-101B-9397-08002B2CF9AE}" pid="7" name="_gxetc">
    <vt:lpwstr>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</vt:lpwstr>
  </property>
</Properties>
</file>